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5.png" ContentType="image/png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Un documento Quarto con codice integrato</w:t>
      </w:r>
    </w:p>
    <w:p>
      <w:pPr>
        <w:pStyle w:val="Author"/>
      </w:pPr>
      <w:r>
        <w:t xml:space="preserve">Domenico Vistocco</w:t>
      </w:r>
    </w:p>
    <w:p>
      <w:pPr>
        <w:pStyle w:val="Date"/>
      </w:pPr>
      <w:r>
        <w:t xml:space="preserve">2023-10-24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Nota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Puoi scaricare</w:t>
            </w:r>
            <w:r>
              <w:t xml:space="preserve"> </w:t>
            </w:r>
            <w:hyperlink r:id="rId23">
              <w:r>
                <w:rPr>
                  <w:rStyle w:val="Hyperlink"/>
                </w:rPr>
                <w:t xml:space="preserve">qui il progetto RStudio in formato compresso</w:t>
              </w:r>
            </w:hyperlink>
            <w:r>
              <w:t xml:space="preserve"> </w:t>
            </w:r>
            <w:r>
              <w:t xml:space="preserve">con tutto il necessario per compilare sul tuo PC i report</w:t>
            </w:r>
            <w:r>
              <w:t xml:space="preserve"> </w:t>
            </w:r>
            <w:r>
              <w:rPr>
                <w:rStyle w:val="VerbatimChar"/>
              </w:rPr>
              <w:t xml:space="preserve">Quarto</w:t>
            </w:r>
            <w:r>
              <w:t xml:space="preserve"> </w:t>
            </w:r>
            <w:r>
              <w:t xml:space="preserve">(codice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  <w:r>
              <w:t xml:space="preserve"> </w:t>
            </w:r>
            <w:r>
              <w:t xml:space="preserve">integrato, codice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  <w:r>
              <w:t xml:space="preserve"> </w:t>
            </w:r>
            <w:r>
              <w:t xml:space="preserve">esterno, report parametrico con codice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  <w:r>
              <w:t xml:space="preserve"> </w:t>
            </w:r>
            <w:r>
              <w:t xml:space="preserve">integrato, report parametrico con codice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  <w:r>
              <w:t xml:space="preserve"> </w:t>
            </w:r>
            <w:r>
              <w:t xml:space="preserve">esterno).</w:t>
            </w:r>
          </w:p>
          <w:p/>
        </w:tc>
      </w:tr>
    </w:tbl>
    <w:bookmarkStart w:id="24" w:name="introduzione"/>
    <w:p>
      <w:pPr>
        <w:pStyle w:val="Heading1"/>
      </w:pPr>
      <w:r>
        <w:t xml:space="preserve">Introduzione</w:t>
      </w:r>
    </w:p>
    <w:p>
      <w:pPr>
        <w:pStyle w:val="FirstParagraph"/>
      </w:pPr>
      <w:r>
        <w:t xml:space="preserve">Ecco una breve</w:t>
      </w:r>
      <w:r>
        <w:t xml:space="preserve"> </w:t>
      </w:r>
      <w:r>
        <w:rPr>
          <w:i/>
          <w:iCs/>
        </w:rPr>
        <w:t xml:space="preserve">introduzione</w:t>
      </w:r>
      <w:r>
        <w:t xml:space="preserve">. Ricorda che puoi passare ad un differente formato del documento di output senza cambiare questo documento sorgente: basta scegliere il formato desiderato dal sottomenu del tasto</w:t>
      </w:r>
      <w:r>
        <w:t xml:space="preserve"> </w:t>
      </w:r>
      <w:r>
        <w:rPr>
          <w:rStyle w:val="VerbatimChar"/>
        </w:rPr>
        <w:t xml:space="preserve">Render</w:t>
      </w:r>
      <w:r>
        <w:t xml:space="preserve">, disponibile quando si specificano più formati di output nella sezione</w:t>
      </w:r>
      <w:r>
        <w:t xml:space="preserve"> </w:t>
      </w:r>
      <w:r>
        <w:rPr>
          <w:rStyle w:val="VerbatimChar"/>
        </w:rPr>
        <w:t xml:space="preserve">YAML</w:t>
      </w:r>
      <w:r>
        <w:t xml:space="preserve"> </w:t>
      </w:r>
      <w:r>
        <w:t xml:space="preserve">del documento.</w:t>
      </w:r>
    </w:p>
    <w:bookmarkEnd w:id="24"/>
    <w:bookmarkStart w:id="32" w:name="primo-paragrafo"/>
    <w:p>
      <w:pPr>
        <w:pStyle w:val="Heading1"/>
      </w:pPr>
      <w:r>
        <w:t xml:space="preserve">Primo paragrafo</w:t>
      </w:r>
    </w:p>
    <w:p>
      <w:pPr>
        <w:pStyle w:val="FirstParagraph"/>
      </w:pPr>
      <w:r>
        <w:t xml:space="preserve">Per la composizione del report puoi sfruttare la sintassi del linguaggio</w:t>
      </w:r>
      <w:r>
        <w:t xml:space="preserve"> </w:t>
      </w:r>
      <w:r>
        <w:rPr>
          <w:b/>
          <w:bCs/>
        </w:rPr>
        <w:t xml:space="preserve">Markdown</w:t>
      </w:r>
      <w:r>
        <w:t xml:space="preserve"> </w:t>
      </w:r>
      <w:r>
        <w:t xml:space="preserve">syntax. Per dettagli puoi consultare il materiale su</w:t>
      </w:r>
      <w:r>
        <w:t xml:space="preserve"> </w:t>
      </w:r>
      <w:hyperlink r:id="rId25">
        <w:r>
          <w:rPr>
            <w:rStyle w:val="Hyperlink"/>
          </w:rPr>
          <w:t xml:space="preserve">questo link</w:t>
        </w:r>
      </w:hyperlink>
      <w:r>
        <w:t xml:space="preserve">, dovi trovi una guida dettagliata al sistema</w:t>
      </w:r>
      <w:r>
        <w:t xml:space="preserve"> </w:t>
      </w:r>
      <w:r>
        <w:rPr>
          <w:rStyle w:val="VerbatimChar"/>
        </w:rPr>
        <w:t xml:space="preserve">Quarto</w:t>
      </w:r>
      <w:r>
        <w:t xml:space="preserve"> </w:t>
      </w:r>
      <w:r>
        <w:t xml:space="preserve">organizzata per sezioni. Una guida sulla sintassi base di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 </w:t>
      </w:r>
      <w:r>
        <w:t xml:space="preserve">è consultabile nella sezione</w:t>
      </w:r>
      <w:r>
        <w:t xml:space="preserve"> </w:t>
      </w:r>
      <w:r>
        <w:rPr>
          <w:rStyle w:val="VerbatimChar"/>
        </w:rPr>
        <w:t xml:space="preserve">Authorihg</w:t>
      </w:r>
      <w:r>
        <w:t xml:space="preserve"> </w:t>
      </w:r>
      <w:r>
        <w:t xml:space="preserve">seguendo il</w:t>
      </w:r>
      <w:r>
        <w:t xml:space="preserve"> </w:t>
      </w:r>
      <w:hyperlink r:id="rId26">
        <w:r>
          <w:rPr>
            <w:rStyle w:val="Hyperlink"/>
          </w:rPr>
          <w:t xml:space="preserve">link Markdown Basics</w:t>
        </w:r>
      </w:hyperlink>
      <w:r>
        <w:t xml:space="preserve">.</w:t>
      </w:r>
    </w:p>
    <w:p>
      <w:pPr>
        <w:pStyle w:val="BodyText"/>
      </w:pPr>
      <w:r>
        <w:t xml:space="preserve">Questo è un esempio di citazione (Tolstoj ?):</w:t>
      </w:r>
    </w:p>
    <w:p>
      <w:pPr>
        <w:pStyle w:val="BlockText"/>
      </w:pPr>
      <w:r>
        <w:t xml:space="preserve">Tidy datasets are all alike but every messy dataset is messy in its own way. – Hadley Wickham</w:t>
      </w:r>
    </w:p>
    <w:p>
      <w:pPr>
        <w:pStyle w:val="FirstParagraph"/>
      </w:pPr>
      <w:r>
        <w:t xml:space="preserve">Ricorda anche di consultare i capitoli 29 e 30 del libro</w:t>
      </w:r>
      <w:r>
        <w:t xml:space="preserve"> </w:t>
      </w:r>
      <w:r>
        <w:rPr>
          <w:b/>
          <w:bCs/>
        </w:rPr>
        <w:t xml:space="preserve">R for Data Science</w:t>
      </w:r>
      <w:r>
        <w:t xml:space="preserve"> </w:t>
      </w:r>
      <w:r>
        <w:t xml:space="preserve">(2nd edition)</w:t>
      </w:r>
      <w:r>
        <w:t xml:space="preserve"> </w:t>
      </w:r>
      <w:r>
        <w:t xml:space="preserve">(Wickham and Grolemund 2017)</w:t>
      </w:r>
      <w:r>
        <w:t xml:space="preserve">, disponibile</w:t>
      </w:r>
      <w:r>
        <w:t xml:space="preserve"> </w:t>
      </w:r>
      <w:hyperlink r:id="rId27">
        <w:r>
          <w:rPr>
            <w:rStyle w:val="Hyperlink"/>
          </w:rPr>
          <w:t xml:space="preserve">online qui</w:t>
        </w:r>
      </w:hyperlink>
      <w:r>
        <w:t xml:space="preserve">. E’ senza dubbio la guida di riferimento al sistema: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1" w:name="fig-logo-tidyverse"/>
          <w:p>
            <w:pPr>
              <w:pStyle w:val="Compact"/>
              <w:jc w:val="center"/>
            </w:pPr>
            <w:r>
              <w:drawing>
                <wp:inline>
                  <wp:extent cx="1905000" cy="21971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lab_14-tidyverse-logo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19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Questa è un esempio di didascalia</w:t>
            </w:r>
          </w:p>
          <w:bookmarkEnd w:id="31"/>
        </w:tc>
      </w:tr>
    </w:tbl>
    <w:bookmarkEnd w:id="32"/>
    <w:bookmarkStart w:id="33" w:name="secondo-paragrafo-elenchi"/>
    <w:p>
      <w:pPr>
        <w:pStyle w:val="Heading1"/>
      </w:pPr>
      <w:r>
        <w:t xml:space="preserve">Secondo paragrafo: elenchi</w:t>
      </w:r>
    </w:p>
    <w:p>
      <w:pPr>
        <w:pStyle w:val="FirstParagraph"/>
      </w:pPr>
      <w:r>
        <w:t xml:space="preserve">Puoi inserire elenchi puntati:</w:t>
      </w:r>
    </w:p>
    <w:p>
      <w:pPr>
        <w:pStyle w:val="Compact"/>
        <w:numPr>
          <w:ilvl w:val="0"/>
          <w:numId w:val="1001"/>
        </w:numPr>
      </w:pPr>
      <w:r>
        <w:t xml:space="preserve">punto 1 di un elenco puntato (non numerato)</w:t>
      </w:r>
    </w:p>
    <w:p>
      <w:pPr>
        <w:pStyle w:val="Compact"/>
        <w:numPr>
          <w:ilvl w:val="0"/>
          <w:numId w:val="1001"/>
        </w:numPr>
      </w:pPr>
      <w:r>
        <w:t xml:space="preserve">punto 2</w:t>
      </w:r>
    </w:p>
    <w:p>
      <w:pPr>
        <w:pStyle w:val="Compact"/>
        <w:numPr>
          <w:ilvl w:val="0"/>
          <w:numId w:val="1001"/>
        </w:numPr>
      </w:pPr>
      <w:r>
        <w:t xml:space="preserve">punto 3</w:t>
      </w:r>
    </w:p>
    <w:p>
      <w:pPr>
        <w:pStyle w:val="FirstParagraph"/>
      </w:pPr>
      <w:r>
        <w:t xml:space="preserve">oppure elenchi numerati:</w:t>
      </w:r>
    </w:p>
    <w:p>
      <w:pPr>
        <w:pStyle w:val="Compact"/>
        <w:numPr>
          <w:ilvl w:val="0"/>
          <w:numId w:val="1002"/>
        </w:numPr>
      </w:pPr>
      <w:r>
        <w:t xml:space="preserve">punto 1 di un elenco numerato</w:t>
      </w:r>
    </w:p>
    <w:p>
      <w:pPr>
        <w:pStyle w:val="Compact"/>
        <w:numPr>
          <w:ilvl w:val="0"/>
          <w:numId w:val="1002"/>
        </w:numPr>
      </w:pPr>
      <w:r>
        <w:t xml:space="preserve">punto 2 di un elenco numerato</w:t>
      </w:r>
    </w:p>
    <w:p>
      <w:pPr>
        <w:pStyle w:val="Compact"/>
        <w:numPr>
          <w:ilvl w:val="0"/>
          <w:numId w:val="1002"/>
        </w:numPr>
      </w:pPr>
      <w:r>
        <w:t xml:space="preserve">punto 3 di un elenco numerato</w:t>
      </w:r>
    </w:p>
    <w:p>
      <w:pPr>
        <w:pStyle w:val="FirstParagraph"/>
      </w:pPr>
      <w:r>
        <w:t xml:space="preserve">Puoi anche innestare più elenchi come di seguito:</w:t>
      </w:r>
    </w:p>
    <w:p>
      <w:pPr>
        <w:pStyle w:val="Compact"/>
        <w:numPr>
          <w:ilvl w:val="0"/>
          <w:numId w:val="1003"/>
        </w:numPr>
      </w:pPr>
      <w:r>
        <w:t xml:space="preserve">punto 1 di un elenco numerato</w:t>
      </w:r>
    </w:p>
    <w:p>
      <w:pPr>
        <w:pStyle w:val="Compact"/>
        <w:numPr>
          <w:ilvl w:val="1"/>
          <w:numId w:val="1004"/>
        </w:numPr>
      </w:pPr>
      <w:r>
        <w:t xml:space="preserve">primo punto di un elenco puntato innestato</w:t>
      </w:r>
    </w:p>
    <w:p>
      <w:pPr>
        <w:pStyle w:val="Compact"/>
        <w:numPr>
          <w:ilvl w:val="1"/>
          <w:numId w:val="1004"/>
        </w:numPr>
      </w:pPr>
      <w:r>
        <w:t xml:space="preserve">secondo punto di un elenco puntato innestato</w:t>
      </w:r>
    </w:p>
    <w:p>
      <w:pPr>
        <w:pStyle w:val="Compact"/>
        <w:numPr>
          <w:ilvl w:val="0"/>
          <w:numId w:val="1003"/>
        </w:numPr>
      </w:pPr>
      <w:r>
        <w:t xml:space="preserve">punto 1 di un elenco numerato</w:t>
      </w:r>
    </w:p>
    <w:p>
      <w:pPr>
        <w:pStyle w:val="FirstParagraph"/>
      </w:pPr>
      <w:r>
        <w:t xml:space="preserve">Puoi anche utilizzare una</w:t>
      </w:r>
      <w:r>
        <w:t xml:space="preserve"> </w:t>
      </w:r>
      <w:r>
        <w:rPr>
          <w:rStyle w:val="VerbatimChar"/>
        </w:rPr>
        <w:t xml:space="preserve">definition list</w:t>
      </w:r>
      <w:r>
        <w:t xml:space="preserve">, ovvero elenchi in cui i punti sono associati ad una voce:</w:t>
      </w:r>
    </w:p>
    <w:p>
      <w:pPr>
        <w:pStyle w:val="DefinitionTerm"/>
      </w:pPr>
      <w:r>
        <w:t xml:space="preserve">Punto 1</w:t>
      </w:r>
    </w:p>
    <w:p>
      <w:pPr>
        <w:pStyle w:val="Definition"/>
      </w:pPr>
      <w:r>
        <w:t xml:space="preserve">Questo è il primo punto di una</w:t>
      </w:r>
      <w:r>
        <w:t xml:space="preserve"> </w:t>
      </w:r>
      <w:r>
        <w:rPr>
          <w:rStyle w:val="VerbatimChar"/>
        </w:rPr>
        <w:t xml:space="preserve">definition list</w:t>
      </w:r>
      <w:r>
        <w:t xml:space="preserve">.</w:t>
      </w:r>
    </w:p>
    <w:p>
      <w:pPr>
        <w:pStyle w:val="DefinitionTerm"/>
      </w:pPr>
      <w:r>
        <w:t xml:space="preserve">Punto 2</w:t>
      </w:r>
    </w:p>
    <w:p>
      <w:pPr>
        <w:pStyle w:val="Definition"/>
      </w:pPr>
      <w:r>
        <w:t xml:space="preserve">E questo è il secondo.</w:t>
      </w:r>
    </w:p>
    <w:bookmarkEnd w:id="33"/>
    <w:bookmarkStart w:id="54" w:name="terzo-paragrafo-tecnico"/>
    <w:p>
      <w:pPr>
        <w:pStyle w:val="Heading1"/>
      </w:pPr>
      <w:r>
        <w:t xml:space="preserve">Terzo paragrafo (</w:t>
      </w:r>
      <w:r>
        <w:t xml:space="preserve">“tecnico”</w:t>
      </w:r>
      <w:r>
        <w:t xml:space="preserve">)</w:t>
      </w:r>
    </w:p>
    <w:bookmarkStart w:id="34" w:name="un-sottoparagrafo-con-chunk-di-codice-r"/>
    <w:p>
      <w:pPr>
        <w:pStyle w:val="Heading2"/>
      </w:pPr>
      <w:r>
        <w:t xml:space="preserve">Un sottoparagrafo con</w:t>
      </w:r>
      <w:r>
        <w:t xml:space="preserve"> </w:t>
      </w:r>
      <w:r>
        <w:rPr>
          <w:rStyle w:val="VerbatimChar"/>
        </w:rPr>
        <w:t xml:space="preserve">chunk</w:t>
      </w:r>
      <w:r>
        <w:t xml:space="preserve"> </w:t>
      </w:r>
      <w:r>
        <w:t xml:space="preserve">di codice</w:t>
      </w:r>
      <w:r>
        <w:t xml:space="preserve"> </w:t>
      </w:r>
      <w:r>
        <w:rPr>
          <w:rStyle w:val="VerbatimChar"/>
        </w:rPr>
        <w:t xml:space="preserve">R</w:t>
      </w:r>
    </w:p>
    <w:p>
      <w:pPr>
        <w:pStyle w:val="FirstParagraph"/>
      </w:pPr>
      <w:r>
        <w:t xml:space="preserve">Sfruttando le opzioni</w:t>
      </w:r>
      <w:r>
        <w:t xml:space="preserve"> </w:t>
      </w:r>
      <w:r>
        <w:rPr>
          <w:rStyle w:val="VerbatimChar"/>
        </w:rPr>
        <w:t xml:space="preserve">echo</w:t>
      </w:r>
      <w:r>
        <w:t xml:space="preserve"> </w:t>
      </w:r>
      <w:r>
        <w:t xml:space="preserve">ed</w:t>
      </w:r>
      <w:r>
        <w:t xml:space="preserve"> </w:t>
      </w:r>
      <w:r>
        <w:rPr>
          <w:rStyle w:val="VerbatimChar"/>
        </w:rPr>
        <w:t xml:space="preserve">eval</w:t>
      </w:r>
      <w:r>
        <w:t xml:space="preserve"> </w:t>
      </w:r>
      <w:r>
        <w:t xml:space="preserve">dei</w:t>
      </w:r>
      <w:r>
        <w:t xml:space="preserve"> </w:t>
      </w:r>
      <w:r>
        <w:rPr>
          <w:rStyle w:val="VerbatimChar"/>
        </w:rPr>
        <w:t xml:space="preserve">chunk</w:t>
      </w:r>
      <w:r>
        <w:t xml:space="preserve"> </w:t>
      </w:r>
      <w:r>
        <w:t xml:space="preserve">di codice puoi decidere cosa includere nel documento in output. Ecco un esempio di un</w:t>
      </w:r>
      <w:r>
        <w:t xml:space="preserve"> </w:t>
      </w:r>
      <w:r>
        <w:rPr>
          <w:rStyle w:val="VerbatimChar"/>
        </w:rPr>
        <w:t xml:space="preserve">chunk</w:t>
      </w:r>
      <w:r>
        <w:t xml:space="preserve"> </w:t>
      </w:r>
      <w:r>
        <w:t xml:space="preserve">che è inserito in output ma non valutato (</w:t>
      </w:r>
      <w:r>
        <w:rPr>
          <w:rStyle w:val="VerbatimChar"/>
        </w:rPr>
        <w:t xml:space="preserve">echo: true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eval: false</w:t>
      </w:r>
      <w:r>
        <w:t xml:space="preserve">):</w:t>
      </w:r>
    </w:p>
    <w:p>
      <w:pPr>
        <w:pStyle w:val="SourceCode"/>
      </w:pPr>
      <w:r>
        <w:rPr>
          <w:rStyle w:val="NormalTok"/>
        </w:rPr>
        <w:t xml:space="preserve">fit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(dist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speed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(speed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cars)</w:t>
      </w:r>
      <w:r>
        <w:br/>
      </w:r>
      <w:r>
        <w:rPr>
          <w:rStyle w:val="NormalTok"/>
        </w:rPr>
        <w:t xml:space="preserve">b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(fit)     </w:t>
      </w:r>
      <w:r>
        <w:rPr>
          <w:rStyle w:val="CommentTok"/>
        </w:rPr>
        <w:t xml:space="preserve"># coefficienti del modello di regressione</w:t>
      </w:r>
      <w:r>
        <w:br/>
      </w:r>
      <w:r>
        <w:rPr>
          <w:rStyle w:val="NormalTok"/>
        </w:rPr>
        <w:t xml:space="preserve">                   </w:t>
      </w:r>
      <w:r>
        <w:rPr>
          <w:rStyle w:val="CommentTok"/>
        </w:rPr>
        <w:t xml:space="preserve"># (che sfrutto dopo per mostrare l'uso del codice inline)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(fit)       </w:t>
      </w:r>
      <w:r>
        <w:rPr>
          <w:rStyle w:val="CommentTok"/>
        </w:rPr>
        <w:t xml:space="preserve"># sintesi del modello di regressione</w:t>
      </w:r>
    </w:p>
    <w:p>
      <w:pPr>
        <w:pStyle w:val="FirstParagraph"/>
      </w:pPr>
      <w:r>
        <w:t xml:space="preserve">Impostando invece</w:t>
      </w:r>
      <w:r>
        <w:t xml:space="preserve"> </w:t>
      </w:r>
      <w:r>
        <w:rPr>
          <w:rStyle w:val="VerbatimChar"/>
        </w:rPr>
        <w:t xml:space="preserve">echo: false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eval: true</w:t>
      </w:r>
      <w:r>
        <w:t xml:space="preserve"> </w:t>
      </w:r>
      <w:r>
        <w:t xml:space="preserve">nel report è inserito solo l’output del codice ma non il codice sorgente</w:t>
      </w:r>
      <w:r>
        <w:t xml:space="preserve"> </w:t>
      </w:r>
      <w:r>
        <w:rPr>
          <w:rStyle w:val="VerbatimChar"/>
        </w:rPr>
        <w:t xml:space="preserve">R</w:t>
      </w:r>
      <w:r>
        <w:t xml:space="preserve">:</w:t>
      </w:r>
    </w:p>
    <w:p>
      <w:pPr>
        <w:pStyle w:val="SourceCode"/>
      </w:pPr>
      <w:r>
        <w:br/>
      </w:r>
      <w:r>
        <w:rPr>
          <w:rStyle w:val="VerbatimChar"/>
        </w:rPr>
        <w:t xml:space="preserve">Call:</w:t>
      </w:r>
      <w:r>
        <w:br/>
      </w:r>
      <w:r>
        <w:rPr>
          <w:rStyle w:val="VerbatimChar"/>
        </w:rPr>
        <w:t xml:space="preserve">lm(formula = dist ~ speed + I(speed^2), data = cars)</w:t>
      </w:r>
      <w:r>
        <w:br/>
      </w:r>
      <w:r>
        <w:br/>
      </w:r>
      <w:r>
        <w:rPr>
          <w:rStyle w:val="VerbatimChar"/>
        </w:rPr>
        <w:t xml:space="preserve">Residuals:</w:t>
      </w:r>
      <w:r>
        <w:br/>
      </w:r>
      <w:r>
        <w:rPr>
          <w:rStyle w:val="VerbatimChar"/>
        </w:rPr>
        <w:t xml:space="preserve">    Min      1Q  Median      3Q     Max </w:t>
      </w:r>
      <w:r>
        <w:br/>
      </w:r>
      <w:r>
        <w:rPr>
          <w:rStyle w:val="VerbatimChar"/>
        </w:rPr>
        <w:t xml:space="preserve">-28.720  -9.184  -3.188   4.628  45.152 </w:t>
      </w:r>
      <w:r>
        <w:br/>
      </w:r>
      <w:r>
        <w:br/>
      </w:r>
      <w:r>
        <w:rPr>
          <w:rStyle w:val="VerbatimChar"/>
        </w:rPr>
        <w:t xml:space="preserve">Coefficients:</w:t>
      </w:r>
      <w:r>
        <w:br/>
      </w:r>
      <w:r>
        <w:rPr>
          <w:rStyle w:val="VerbatimChar"/>
        </w:rPr>
        <w:t xml:space="preserve">            Estimate Std. Error t value Pr(&gt;|t|)</w:t>
      </w:r>
      <w:r>
        <w:br/>
      </w:r>
      <w:r>
        <w:rPr>
          <w:rStyle w:val="VerbatimChar"/>
        </w:rPr>
        <w:t xml:space="preserve">(Intercept)  2.47014   14.81716   0.167    0.868</w:t>
      </w:r>
      <w:r>
        <w:br/>
      </w:r>
      <w:r>
        <w:rPr>
          <w:rStyle w:val="VerbatimChar"/>
        </w:rPr>
        <w:t xml:space="preserve">speed        0.91329    2.03422   0.449    0.656</w:t>
      </w:r>
      <w:r>
        <w:br/>
      </w:r>
      <w:r>
        <w:rPr>
          <w:rStyle w:val="VerbatimChar"/>
        </w:rPr>
        <w:t xml:space="preserve">I(speed^2)   0.09996    0.06597   1.515    0.136</w:t>
      </w:r>
      <w:r>
        <w:br/>
      </w:r>
      <w:r>
        <w:br/>
      </w:r>
      <w:r>
        <w:rPr>
          <w:rStyle w:val="VerbatimChar"/>
        </w:rPr>
        <w:t xml:space="preserve">Residual standard error: 15.18 on 47 degrees of freedom</w:t>
      </w:r>
      <w:r>
        <w:br/>
      </w:r>
      <w:r>
        <w:rPr>
          <w:rStyle w:val="VerbatimChar"/>
        </w:rPr>
        <w:t xml:space="preserve">Multiple R-squared:  0.6673,    Adjusted R-squared:  0.6532 </w:t>
      </w:r>
      <w:r>
        <w:br/>
      </w:r>
      <w:r>
        <w:rPr>
          <w:rStyle w:val="VerbatimChar"/>
        </w:rPr>
        <w:t xml:space="preserve">F-statistic: 47.14 on 2 and 47 DF,  p-value: 5.852e-12</w:t>
      </w:r>
    </w:p>
    <w:p>
      <w:pPr>
        <w:pStyle w:val="FirstParagraph"/>
      </w:pPr>
      <w:r>
        <w:t xml:space="preserve">Il codice è inserito in un riquadro in tutti i formati di output del documento.</w:t>
      </w:r>
    </w:p>
    <w:p>
      <w:pPr>
        <w:pStyle w:val="SourceCode"/>
      </w:pPr>
      <w:r>
        <w:rPr>
          <w:rStyle w:val="VerbatimChar"/>
        </w:rPr>
        <w:t xml:space="preserve">Questo testo sembra un chunk di codice ma ne utilizza solo la stessa formattazione. </w:t>
      </w:r>
      <w:r>
        <w:br/>
      </w:r>
      <w:r>
        <w:br/>
      </w:r>
      <w:r>
        <w:rPr>
          <w:rStyle w:val="VerbatimChar"/>
        </w:rPr>
        <w:t xml:space="preserve">E' ottenuto senza specificare {r} nella testa del chunk.</w:t>
      </w:r>
    </w:p>
    <w:bookmarkEnd w:id="34"/>
    <w:bookmarkStart w:id="38" w:name="un-sottoparagrafo-con-alcuni-grafici"/>
    <w:p>
      <w:pPr>
        <w:pStyle w:val="Heading2"/>
      </w:pPr>
      <w:r>
        <w:t xml:space="preserve">Un sottoparagrafo con alcuni grafici</w:t>
      </w:r>
    </w:p>
    <w:p>
      <w:pPr>
        <w:pStyle w:val="FirstParagraph"/>
      </w:pPr>
      <w:r>
        <w:t xml:space="preserve">I grafici creati dal codice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sono inseriti direttamente nel report in output ed è possibile impostarne le opzioni di visualizzazione:</w:t>
      </w:r>
    </w:p>
    <w:p>
      <w:pPr>
        <w:pStyle w:val="SourceCode"/>
      </w:pPr>
      <w:r>
        <w:rPr>
          <w:rStyle w:val="FunctionTok"/>
        </w:rPr>
        <w:t xml:space="preserve">par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mfrow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.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bg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'white'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(lm_fit)</w:t>
      </w:r>
    </w:p>
    <w:p>
      <w:pPr>
        <w:pStyle w:val="CaptionedFigure"/>
      </w:pPr>
      <w:r>
        <w:drawing>
          <wp:inline>
            <wp:extent cx="5334000" cy="5334000"/>
            <wp:effectExtent b="0" l="0" r="0" t="0"/>
            <wp:docPr descr="Grafici diagnostici di regressione" title="" id="36" name="Picture"/>
            <a:graphic>
              <a:graphicData uri="http://schemas.openxmlformats.org/drawingml/2006/picture">
                <pic:pic>
                  <pic:nvPicPr>
                    <pic:cNvPr descr="lab_14-report-quarto_codice-integrato_files/figure-docx/lm-grafici-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Grafici diagnostici di regressione</w:t>
      </w:r>
    </w:p>
    <w:bookmarkEnd w:id="38"/>
    <w:bookmarkStart w:id="39" w:name="un-sottoparagrafo-matematico"/>
    <w:p>
      <w:pPr>
        <w:pStyle w:val="Heading2"/>
      </w:pPr>
      <w:r>
        <w:t xml:space="preserve">Un sottoparagrafo matematico</w:t>
      </w:r>
    </w:p>
    <w:p>
      <w:pPr>
        <w:pStyle w:val="FirstParagraph"/>
      </w:pPr>
      <w:r>
        <w:t xml:space="preserve">Ecco un esempio di equazione in modalità</w:t>
      </w:r>
      <w:r>
        <w:t xml:space="preserve"> </w:t>
      </w:r>
      <w:r>
        <w:rPr>
          <w:rStyle w:val="VerbatimChar"/>
        </w:rPr>
        <w:t xml:space="preserve">display</w:t>
      </w:r>
      <w:r>
        <w:t xml:space="preserve">, il famoso modello di regressione:</w:t>
      </w:r>
    </w:p>
    <w:p>
      <w:pPr>
        <w:pStyle w:val="BodyText"/>
      </w:pPr>
      <m:oMathPara>
        <m:oMathParaPr>
          <m:jc m:val="center"/>
        </m:oMathParaPr>
        <m:oMath>
          <m:r>
            <m:t>Y</m:t>
          </m:r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r>
            <m:t>x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p>
            <m:e>
              <m:r>
                <m:t>x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+</m:t>
          </m:r>
          <m:r>
            <m:t>ϵ</m:t>
          </m:r>
        </m:oMath>
      </m:oMathPara>
    </w:p>
    <w:p>
      <w:pPr>
        <w:pStyle w:val="FirstParagraph"/>
      </w:pPr>
      <w:r>
        <w:t xml:space="preserve">E’ possibile scrivere anche un’equazione in modalità</w:t>
      </w:r>
      <w:r>
        <w:t xml:space="preserve"> </w:t>
      </w:r>
      <w:r>
        <w:rPr>
          <w:rStyle w:val="VerbatimChar"/>
        </w:rPr>
        <w:t xml:space="preserve">inline</w:t>
      </w:r>
      <w:r>
        <w:t xml:space="preserve">. Ecco l’equazione di regressione che sfrutta anche codice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inline (coefficienti del modello di regressione salvati in un chunk di codice precedente):</w:t>
      </w:r>
      <w:r>
        <w:t xml:space="preserve"> </w:t>
      </w:r>
      <m:oMath>
        <m:acc>
          <m:accPr>
            <m:chr m:val="̂"/>
          </m:accPr>
          <m:e>
            <m:r>
              <m:t>y</m:t>
            </m:r>
          </m:e>
        </m:acc>
        <m:r>
          <m:rPr>
            <m:sty m:val="p"/>
          </m:rPr>
          <m:t>=</m:t>
        </m:r>
        <m:r>
          <m:t>2.4701378</m:t>
        </m:r>
        <m:r>
          <m:rPr>
            <m:sty m:val="p"/>
          </m:rPr>
          <m:t>+</m:t>
        </m:r>
        <m:r>
          <m:t>0.9132876</m:t>
        </m:r>
        <m:r>
          <m:t> </m:t>
        </m:r>
        <m:r>
          <m:t>x</m:t>
        </m:r>
      </m:oMath>
      <w:r>
        <w:t xml:space="preserve">.</w:t>
      </w:r>
    </w:p>
    <w:p>
      <w:pPr>
        <w:pStyle w:val="BodyText"/>
      </w:pPr>
      <w:r>
        <w:t xml:space="preserve">Ed ecco un esempio di equazione complessa (copiata da una pagina di Wikipedia relativa al LaTeX):</w:t>
      </w:r>
    </w:p>
    <w:p>
      <w:pPr>
        <w:pStyle w:val="BodyText"/>
      </w:pPr>
      <m:oMathPara>
        <m:oMathParaPr>
          <m:jc m:val="center"/>
        </m:oMathParaPr>
        <m:oMath>
          <m:f>
            <m:fPr>
              <m:type m:val="bar"/>
            </m:fPr>
            <m:num>
              <m:r>
                <m:t>1</m:t>
              </m:r>
            </m:num>
            <m:den>
              <m:r>
                <m:t>1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x</m:t>
                      </m:r>
                    </m:den>
                  </m:f>
                </m:den>
              </m:f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1</m:t>
              </m:r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x</m:t>
                      </m:r>
                    </m:den>
                  </m:f>
                </m:den>
              </m:f>
            </m:den>
          </m:f>
        </m:oMath>
      </m:oMathPara>
    </w:p>
    <w:bookmarkEnd w:id="39"/>
    <w:bookmarkStart w:id="45" w:name="un-sottoparagrafo-tabellare"/>
    <w:p>
      <w:pPr>
        <w:pStyle w:val="Heading2"/>
      </w:pPr>
      <w:r>
        <w:t xml:space="preserve">Un sottoparagrafo</w:t>
      </w:r>
      <w:r>
        <w:t xml:space="preserve"> </w:t>
      </w:r>
      <w:r>
        <w:t xml:space="preserve">“tabellare”</w:t>
      </w:r>
    </w:p>
    <w:bookmarkStart w:id="41" w:name="tabelle-statiche"/>
    <w:p>
      <w:pPr>
        <w:pStyle w:val="Heading3"/>
      </w:pPr>
      <w:r>
        <w:t xml:space="preserve">Tabelle statiche</w:t>
      </w:r>
    </w:p>
    <w:p>
      <w:pPr>
        <w:pStyle w:val="FirstParagraph"/>
      </w:pPr>
      <w:r>
        <w:t xml:space="preserve">Puoi inserire tabelle statiche in un report sfruttando la sintassi di composizione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. Di seguito un esempio di una semplice tabella.</w:t>
      </w:r>
    </w:p>
    <w:p>
      <w:pPr>
        <w:pStyle w:val="BodyText"/>
      </w:pPr>
      <w:r>
        <w:t xml:space="preserve">Tabella: Un esempio della sintassi di una tabella in</w:t>
      </w:r>
      <w:r>
        <w:t xml:space="preserve"> </w:t>
      </w:r>
      <w:r>
        <w:rPr>
          <w:rStyle w:val="VerbatimChar"/>
        </w:rPr>
        <w:t xml:space="preserve">Markdown</w:t>
      </w:r>
      <w:r>
        <w:t xml:space="preserve">.{#tbl-tabella-statica}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0" w:name="tbl-tabella-statica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Didascalia della tabella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980"/>
              <w:gridCol w:w="1980"/>
              <w:gridCol w:w="1980"/>
              <w:gridCol w:w="198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Right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Left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  <w:jc w:val="center"/>
                  </w:pPr>
                  <w:r>
                    <w:t xml:space="preserve">Center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Default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  <w:jc w:val="center"/>
                  </w:pPr>
                  <w:r>
                    <w:t xml:space="preserve">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5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  <w:jc w:val="center"/>
                  </w:pPr>
                  <w:r>
                    <w:t xml:space="preserve">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9</w:t>
                  </w:r>
                </w:p>
              </w:tc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  <w:jc w:val="center"/>
                  </w:pPr>
                  <w:r>
                    <w:t xml:space="preserve">11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</w:t>
                  </w:r>
                </w:p>
              </w:tc>
            </w:tr>
          </w:tbl>
          <w:bookmarkEnd w:id="40"/>
          <w:p/>
        </w:tc>
      </w:tr>
    </w:tbl>
    <w:bookmarkEnd w:id="41"/>
    <w:bookmarkStart w:id="44" w:name="tabelle-dinamiche"/>
    <w:p>
      <w:pPr>
        <w:pStyle w:val="Heading3"/>
      </w:pPr>
      <w:r>
        <w:t xml:space="preserve">Tabelle dinamiche</w:t>
      </w:r>
    </w:p>
    <w:p>
      <w:pPr>
        <w:pStyle w:val="FirstParagraph"/>
      </w:pPr>
      <w:r>
        <w:t xml:space="preserve">Puoi inserire una</w:t>
      </w:r>
      <w:r>
        <w:t xml:space="preserve"> </w:t>
      </w:r>
      <w:r>
        <w:t xml:space="preserve">“spartana”</w:t>
      </w:r>
      <w:r>
        <w:t xml:space="preserve"> </w:t>
      </w:r>
      <w:r>
        <w:t xml:space="preserve">tabella prodotta dal codice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semplicemente stampandola e questa verrà formattata così come è stampata nella console di</w:t>
      </w:r>
      <w:r>
        <w:t xml:space="preserve"> </w:t>
      </w:r>
      <w:r>
        <w:rPr>
          <w:rStyle w:val="VerbatimChar"/>
        </w:rPr>
        <w:t xml:space="preserve">R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head</w:t>
      </w:r>
      <w:r>
        <w:rPr>
          <w:rStyle w:val="NormalTok"/>
        </w:rPr>
        <w:t xml:space="preserve">(cars,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  speed dist</w:t>
      </w:r>
      <w:r>
        <w:br/>
      </w:r>
      <w:r>
        <w:rPr>
          <w:rStyle w:val="VerbatimChar"/>
        </w:rPr>
        <w:t xml:space="preserve">1     4    2</w:t>
      </w:r>
      <w:r>
        <w:br/>
      </w:r>
      <w:r>
        <w:rPr>
          <w:rStyle w:val="VerbatimChar"/>
        </w:rPr>
        <w:t xml:space="preserve">2     4   10</w:t>
      </w:r>
      <w:r>
        <w:br/>
      </w:r>
      <w:r>
        <w:rPr>
          <w:rStyle w:val="VerbatimChar"/>
        </w:rPr>
        <w:t xml:space="preserve">3     7    4</w:t>
      </w:r>
      <w:r>
        <w:br/>
      </w:r>
      <w:r>
        <w:rPr>
          <w:rStyle w:val="VerbatimChar"/>
        </w:rPr>
        <w:t xml:space="preserve">4     7   22</w:t>
      </w:r>
      <w:r>
        <w:br/>
      </w:r>
      <w:r>
        <w:rPr>
          <w:rStyle w:val="VerbatimChar"/>
        </w:rPr>
        <w:t xml:space="preserve">5     8   16</w:t>
      </w:r>
      <w:r>
        <w:br/>
      </w:r>
      <w:r>
        <w:rPr>
          <w:rStyle w:val="VerbatimChar"/>
        </w:rPr>
        <w:t xml:space="preserve">6     9   10</w:t>
      </w:r>
      <w:r>
        <w:br/>
      </w:r>
      <w:r>
        <w:rPr>
          <w:rStyle w:val="VerbatimChar"/>
        </w:rPr>
        <w:t xml:space="preserve">7    10   18</w:t>
      </w:r>
    </w:p>
    <w:p>
      <w:pPr>
        <w:pStyle w:val="FirstParagraph"/>
      </w:pPr>
      <w:r>
        <w:t xml:space="preserve">Sono disponibili diversi package che ti permettono con poca fatica di formattare in maniera professionale delle tabelle. Ecco un esempio della funzione</w:t>
      </w:r>
      <w:r>
        <w:t xml:space="preserve"> </w:t>
      </w:r>
      <w:r>
        <w:rPr>
          <w:rStyle w:val="VerbatimChar"/>
        </w:rPr>
        <w:t xml:space="preserve">kable()</w:t>
      </w:r>
      <w:r>
        <w:t xml:space="preserve"> </w:t>
      </w:r>
      <w:r>
        <w:t xml:space="preserve">disponibile nel package</w:t>
      </w:r>
      <w:r>
        <w:t xml:space="preserve"> </w:t>
      </w:r>
      <w:r>
        <w:rPr>
          <w:rStyle w:val="VerbatimChar"/>
        </w:rPr>
        <w:t xml:space="preserve">knitr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(knitr)</w:t>
      </w:r>
      <w:r>
        <w:br/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(cars,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2" w:name="tbl-tabella-kable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2: Una tabella sfruttando</w:t>
            </w:r>
            <w:r>
              <w:t xml:space="preserve"> </w:t>
            </w:r>
            <w:r>
              <w:rPr>
                <w:rStyle w:val="VerbatimChar"/>
              </w:rPr>
              <w:t xml:space="preserve">kable {knitr}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speed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dist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8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18</w:t>
                  </w:r>
                </w:p>
              </w:tc>
            </w:tr>
          </w:tbl>
          <w:bookmarkEnd w:id="42"/>
          <w:p/>
        </w:tc>
      </w:tr>
    </w:tbl>
    <w:p>
      <w:pPr>
        <w:pStyle w:val="BodyText"/>
      </w:pPr>
      <w:r>
        <w:t xml:space="preserve">E’ importante sottolineare che per sfruttare una funzione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disponibile in un package è necessario caricare il package in un</w:t>
      </w:r>
      <w:r>
        <w:t xml:space="preserve"> </w:t>
      </w:r>
      <w:r>
        <w:rPr>
          <w:rStyle w:val="VerbatimChar"/>
        </w:rPr>
        <w:t xml:space="preserve">chunk</w:t>
      </w:r>
      <w:r>
        <w:t xml:space="preserve"> </w:t>
      </w:r>
      <w:r>
        <w:t xml:space="preserve">di codice prima di sfruttare la funzione. In altre parole il workspace dedicato al report</w:t>
      </w:r>
      <w:r>
        <w:t xml:space="preserve"> </w:t>
      </w:r>
      <w:r>
        <w:rPr>
          <w:rStyle w:val="VerbatimChar"/>
        </w:rPr>
        <w:t xml:space="preserve">Quarto</w:t>
      </w:r>
      <w:r>
        <w:t xml:space="preserve"> </w:t>
      </w:r>
      <w:r>
        <w:t xml:space="preserve">sfrutta un ambiente di lavoro dedicato. E’ naturalmente possibile sfruttare la sintassi che permette di utilizzare una funzione specificando il</w:t>
      </w:r>
      <w:r>
        <w:t xml:space="preserve"> </w:t>
      </w:r>
      <w:r>
        <w:rPr>
          <w:rStyle w:val="VerbatimChar"/>
        </w:rPr>
        <w:t xml:space="preserve">namespace</w:t>
      </w:r>
      <w:r>
        <w:t xml:space="preserve"> </w:t>
      </w:r>
      <w:r>
        <w:t xml:space="preserve">in cui questa è definita senza caricare il package in memoria. Ecco un esempio che sfrutta la funzione</w:t>
      </w:r>
      <w:r>
        <w:t xml:space="preserve"> </w:t>
      </w:r>
      <w:r>
        <w:rPr>
          <w:rStyle w:val="VerbatimChar"/>
        </w:rPr>
        <w:t xml:space="preserve">gt</w:t>
      </w:r>
      <w:r>
        <w:t xml:space="preserve">, disponibile nell’omonimo package, per un altro tipo di formattazione dell’output tabellare:</w:t>
      </w:r>
    </w:p>
    <w:p>
      <w:pPr>
        <w:pStyle w:val="SourceCode"/>
      </w:pPr>
      <w:r>
        <w:rPr>
          <w:rStyle w:val="NormalTok"/>
        </w:rPr>
        <w:t xml:space="preserve">gt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gt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(cars,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43" w:name="tbl-tabella-gt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3: Una tabella sfruttando</w:t>
            </w:r>
            <w:r>
              <w:t xml:space="preserve"> </w:t>
            </w:r>
            <w:r>
              <w:rPr>
                <w:rStyle w:val="VerbatimChar"/>
              </w:rPr>
              <w:t xml:space="preserve">gt {gt}</w:t>
            </w:r>
          </w:p>
          <w:tbl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<w:tblPr>
              <w:tblCellMar>
                <w:top w:w="0" w:type="dxa"/>
                <w:bottom w:w="0" w:type="dxa"/>
                <w:start w:w="60" w:type="dxa"/>
                <w:end w:w="60" w:type="dxa"/>
              </w:tblCellMar>
              <w:tblW w:type="auto" w:w="0"/>
              <w:tblLook w:firstRow="0" w:lastRow="0" w:firstColumn="0" w:lastColumn="0" w:noHBand="0" w:noVBand="0"/>
              <w:jc w:val="center"/>
            </w:tblPr>
            <w:tr>
              <w:trPr>
                <w:cantSplit/>
                <w:tblHeader/>
              </w:trPr>
              <w:tc>
                <w:tcPr>
                  <w:tcBorders>
                    <w:top w:val="single" w:sz="16" w:space="0" w:color="D3D3D3"/>
                    <w:bottom w:val="single" w:sz="16" w:space="0" w:color="D3D3D3"/>
                    <w:start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speed</w:t>
                  </w:r>
                </w:p>
              </w:tc>
              <w:tc>
                <w:tcPr>
                  <w:tcBorders>
                    <w:top w:val="single" w:sz="16" w:space="0" w:color="D3D3D3"/>
                    <w:bottom w:val="single" w:sz="16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dist</w:t>
                  </w:r>
                </w:p>
              </w:tc>
            </w:tr>
            <w:tr>
              <w:trPr>
                <w:cantSplit/>
              </w:trPr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4</w:t>
                  </w:r>
                </w:p>
              </w:tc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2</w:t>
                  </w:r>
                </w:p>
              </w:tc>
            </w:tr>
            <w:tr>
              <w:trPr>
                <w:cantSplit/>
              </w:trPr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4</w:t>
                  </w:r>
                </w:p>
              </w:tc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10</w:t>
                  </w:r>
                </w:p>
              </w:tc>
            </w:tr>
            <w:tr>
              <w:trPr>
                <w:cantSplit/>
              </w:trPr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7</w:t>
                  </w:r>
                </w:p>
              </w:tc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4</w:t>
                  </w:r>
                </w:p>
              </w:tc>
            </w:tr>
            <w:tr>
              <w:trPr>
                <w:cantSplit/>
              </w:trPr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7</w:t>
                  </w:r>
                </w:p>
              </w:tc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22</w:t>
                  </w:r>
                </w:p>
              </w:tc>
            </w:tr>
            <w:tr>
              <w:trPr>
                <w:cantSplit/>
              </w:trPr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8</w:t>
                  </w:r>
                </w:p>
              </w:tc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16</w:t>
                  </w:r>
                </w:p>
              </w:tc>
            </w:tr>
            <w:tr>
              <w:trPr>
                <w:cantSplit/>
              </w:trPr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9</w:t>
                  </w:r>
                </w:p>
              </w:tc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10</w:t>
                  </w:r>
                </w:p>
              </w:tc>
            </w:tr>
            <w:tr>
              <w:trPr>
                <w:cantSplit/>
              </w:trPr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10</w:t>
                  </w:r>
                </w:p>
              </w:tc>
              <w:tc>
                <w:tcPr>
                  <w:tcBorders>
                    <w:top w:val="single" w:space="0" w:color="D3D3D3"/>
                    <w:bottom w:val="single" w:space="0" w:color="D3D3D3"/>
                    <w:start w:val="single" w:space="0" w:color="D3D3D3"/>
                    <w:end w:val="single" w:space="0" w:color="D3D3D3"/>
                  </w:tcBorders>
                </w:tcPr>
                <w:p>
                  <w:pPr>
                    <w:spacing w:before="0" w:after="60"/>
                    <w:keepNext/>
                    <w:jc w:val="end"/>
                  </w:pPr>
                  <w:r>
                    <w:rPr>
                      <w:rFonts w:ascii="Calibri" w:hAnsi="Calibri"/>
                      <w:sz w:val="20"/>
                    </w:rPr>
                    <w:t xml:space="default">18</w:t>
                  </w:r>
                </w:p>
              </w:tc>
            </w:tr>
          </w:tbl>
          <w:bookmarkEnd w:id="43"/>
        </w:tc>
      </w:tr>
    </w:tbl>
    <w:bookmarkEnd w:id="44"/>
    <w:bookmarkEnd w:id="45"/>
    <w:bookmarkStart w:id="53" w:name="alcuni-dettagli"/>
    <w:p>
      <w:pPr>
        <w:pStyle w:val="Heading2"/>
      </w:pPr>
      <w:r>
        <w:t xml:space="preserve">Alcuni dettagli</w:t>
      </w:r>
    </w:p>
    <w:bookmarkStart w:id="47" w:name="citazioni-bibliografiche"/>
    <w:p>
      <w:pPr>
        <w:pStyle w:val="Heading3"/>
      </w:pPr>
      <w:r>
        <w:t xml:space="preserve">Citazioni bibliografiche</w:t>
      </w:r>
    </w:p>
    <w:p>
      <w:pPr>
        <w:pStyle w:val="FirstParagraph"/>
      </w:pPr>
      <w:r>
        <w:t xml:space="preserve">I riferimenti bibliografici in un documento Quarto sono gestiti utilizzando la sintassi del</w:t>
      </w:r>
      <w:r>
        <w:t xml:space="preserve"> </w:t>
      </w:r>
      <w:r>
        <w:rPr>
          <w:rStyle w:val="VerbatimChar"/>
        </w:rPr>
        <w:t xml:space="preserve">BibTex</w:t>
      </w:r>
      <w:r>
        <w:t xml:space="preserve">. Esistono molte guide online anche molto dettagliate. Una tra queste è [The quick BibTeX guide])(https://www.bibtex.com). In realtà per essere operativo ti basta partire dal file</w:t>
      </w:r>
      <w:r>
        <w:t xml:space="preserve"> </w:t>
      </w:r>
      <w:r>
        <w:rPr>
          <w:rStyle w:val="VerbatimChar"/>
        </w:rPr>
        <w:t xml:space="preserve">.bib</w:t>
      </w:r>
      <w:r>
        <w:t xml:space="preserve"> </w:t>
      </w:r>
      <w:r>
        <w:t xml:space="preserve">associato a questo report e consultare le differenti tipologie di fonti che puoi citare su</w:t>
      </w:r>
      <w:r>
        <w:t xml:space="preserve"> </w:t>
      </w:r>
      <w:hyperlink r:id="rId46">
        <w:r>
          <w:rPr>
            <w:rStyle w:val="Hyperlink"/>
          </w:rPr>
          <w:t xml:space="preserve">questa pagina</w:t>
        </w:r>
      </w:hyperlink>
      <w:r>
        <w:t xml:space="preserve"> </w:t>
      </w:r>
      <w:r>
        <w:t xml:space="preserve">della suddetta guida.</w:t>
      </w:r>
    </w:p>
    <w:p>
      <w:pPr>
        <w:pStyle w:val="BodyText"/>
      </w:pPr>
      <w:r>
        <w:t xml:space="preserve">Una volta preparato il file</w:t>
      </w:r>
      <w:r>
        <w:t xml:space="preserve"> </w:t>
      </w:r>
      <w:r>
        <w:rPr>
          <w:rStyle w:val="VerbatimChar"/>
        </w:rPr>
        <w:t xml:space="preserve">.bib</w:t>
      </w:r>
      <w:r>
        <w:t xml:space="preserve"> </w:t>
      </w:r>
      <w:r>
        <w:t xml:space="preserve">con le citazioni, per inserirle nel testo si tratta davvero di un gioco da ragazzi. Non ci credi? Ecco le citazioni del package</w:t>
      </w:r>
      <w:r>
        <w:t xml:space="preserve"> </w:t>
      </w:r>
      <w:r>
        <w:rPr>
          <w:b/>
          <w:bCs/>
        </w:rPr>
        <w:t xml:space="preserve">knitr</w:t>
      </w:r>
      <w:r>
        <w:t xml:space="preserve"> </w:t>
      </w:r>
      <w:r>
        <w:t xml:space="preserve">(Xie 2015)</w:t>
      </w:r>
      <w:r>
        <w:t xml:space="preserve"> </w:t>
      </w:r>
      <w:r>
        <w:t xml:space="preserve">e del manuale R</w:t>
      </w:r>
      <w:r>
        <w:t xml:space="preserve"> </w:t>
      </w:r>
      <w:r>
        <w:t xml:space="preserve">(R Core Team 2013)</w:t>
      </w:r>
      <w:r>
        <w:t xml:space="preserve"> </w:t>
      </w:r>
      <w:r>
        <w:t xml:space="preserve">generate automaticamente.</w:t>
      </w:r>
    </w:p>
    <w:bookmarkEnd w:id="47"/>
    <w:bookmarkStart w:id="50" w:name="note-a-piè-di-pagina"/>
    <w:p>
      <w:pPr>
        <w:pStyle w:val="Heading3"/>
      </w:pPr>
      <w:r>
        <w:t xml:space="preserve">Note a piè di pagina</w:t>
      </w:r>
    </w:p>
    <w:p>
      <w:pPr>
        <w:pStyle w:val="FirstParagraph"/>
      </w:pPr>
      <w:r>
        <w:t xml:space="preserve">Ci sono due modi di inserire note a piè di pagina. Il primo consiste nell’inserire nel testo un richiamo con un indice che viene collegato automaticamente alla nota</w:t>
      </w:r>
      <w:r>
        <w:rPr>
          <w:rStyle w:val="FootnoteReference"/>
        </w:rPr>
        <w:footnoteReference w:id="48"/>
      </w:r>
      <w:r>
        <w:t xml:space="preserve">, come in questo caso.</w:t>
      </w:r>
    </w:p>
    <w:p>
      <w:pPr>
        <w:pStyle w:val="BodyText"/>
      </w:pPr>
      <w:r>
        <w:t xml:space="preserve">In alternativa sono possono inserire anche note sfruttando una sintassi</w:t>
      </w:r>
      <w:r>
        <w:t xml:space="preserve"> </w:t>
      </w:r>
      <w:r>
        <w:rPr>
          <w:rStyle w:val="VerbatimChar"/>
        </w:rPr>
        <w:t xml:space="preserve">inline</w:t>
      </w:r>
      <w:r>
        <w:t xml:space="preserve">, come nell’esempio di questa seconda nota</w:t>
      </w:r>
      <w:r>
        <w:rPr>
          <w:rStyle w:val="FootnoteReference"/>
        </w:rPr>
        <w:footnoteReference w:id="49"/>
      </w:r>
      <w:r>
        <w:t xml:space="preserve">.</w:t>
      </w:r>
    </w:p>
    <w:p>
      <w:pPr>
        <w:pStyle w:val="BodyText"/>
      </w:pPr>
      <w:r>
        <w:t xml:space="preserve">Nel testo in output non c’è alcuna differenza tra i due tipi di nota.</w:t>
      </w:r>
    </w:p>
    <w:bookmarkEnd w:id="50"/>
    <w:bookmarkStart w:id="52" w:name="riferimenti-incrociati"/>
    <w:p>
      <w:pPr>
        <w:pStyle w:val="Heading3"/>
      </w:pPr>
      <w:r>
        <w:t xml:space="preserve">Riferimenti incrociati</w:t>
      </w:r>
    </w:p>
    <w:p>
      <w:pPr>
        <w:pStyle w:val="FirstParagraph"/>
      </w:pPr>
      <w:r>
        <w:t xml:space="preserve">I riferimenti incrociati in un documento possono essere di diverta tipologia. Ecco un esempio di utilizzo in un elenco (</w:t>
      </w:r>
      <w:r>
        <w:rPr>
          <w:rStyle w:val="VerbatimChar"/>
        </w:rPr>
        <w:t xml:space="preserve">examples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Pandoc</w:t>
      </w:r>
      <w:r>
        <w:t xml:space="preserve">):</w:t>
      </w:r>
    </w:p>
    <w:p>
      <w:pPr>
        <w:pStyle w:val="Compact"/>
        <w:numPr>
          <w:ilvl w:val="0"/>
          <w:numId w:val="1005"/>
        </w:numPr>
      </w:pPr>
      <w:r>
        <w:t xml:space="preserve">Questo è un primo esempio</w:t>
      </w:r>
      <w:r>
        <w:t xml:space="preserve"> </w:t>
      </w:r>
      <w:r>
        <w:rPr>
          <w:rStyle w:val="VerbatimChar"/>
        </w:rPr>
        <w:t xml:space="preserve">2 + 2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Questo è un secondo esempio</w:t>
      </w:r>
      <w:r>
        <w:t xml:space="preserve"> </w:t>
      </w:r>
      <w:r>
        <w:rPr>
          <w:rStyle w:val="VerbatimChar"/>
        </w:rPr>
        <w:t xml:space="preserve">2 - 2</w:t>
      </w:r>
      <w:r>
        <w:t xml:space="preserve">. Stessi numeri ma risultati differenti?</w:t>
      </w:r>
    </w:p>
    <w:p>
      <w:pPr>
        <w:pStyle w:val="FirstParagraph"/>
      </w:pPr>
      <w:r>
        <w:t xml:space="preserve">Sebbene (1) sia molto semplice, ti invito a pensare in cosa differisce dal secondo (2).</w:t>
      </w:r>
    </w:p>
    <w:p>
      <w:pPr>
        <w:pStyle w:val="BodyText"/>
      </w:pPr>
      <w:r>
        <w:t xml:space="preserve">Un altro tipo molto utile di riferimenti incrociati sono quelli relativi a tabelle e figure. Ti invito a guardare il codice in corrispondenza della</w:t>
      </w:r>
      <w:r>
        <w:t xml:space="preserve"> </w:t>
      </w:r>
      <w:hyperlink w:anchor="fig-logo-tidyverse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per un esempio relativo ad un riferimento ad una figura nel testo, e a quello delle</w:t>
      </w:r>
      <w:r>
        <w:t xml:space="preserve"> </w:t>
      </w:r>
      <w:hyperlink w:anchor="tbl-tabella-statica">
        <w:r>
          <w:rPr>
            <w:rStyle w:val="Hyperlink"/>
          </w:rPr>
          <w:t xml:space="preserve">Table 1</w:t>
        </w:r>
      </w:hyperlink>
      <w:r>
        <w:t xml:space="preserve">,</w:t>
      </w:r>
      <w:r>
        <w:t xml:space="preserve"> </w:t>
      </w:r>
      <w:hyperlink w:anchor="tbl-tabella-kable">
        <w:r>
          <w:rPr>
            <w:rStyle w:val="Hyperlink"/>
          </w:rPr>
          <w:t xml:space="preserve">Table 2</w:t>
        </w:r>
      </w:hyperlink>
      <w:r>
        <w:t xml:space="preserve"> </w:t>
      </w:r>
      <w:r>
        <w:t xml:space="preserve">e</w:t>
      </w:r>
      <w:r>
        <w:t xml:space="preserve"> </w:t>
      </w:r>
      <w:hyperlink w:anchor="tbl-tabella-gt">
        <w:r>
          <w:rPr>
            <w:rStyle w:val="Hyperlink"/>
          </w:rPr>
          <w:t xml:space="preserve">Table 3</w:t>
        </w:r>
      </w:hyperlink>
      <w:r>
        <w:t xml:space="preserve"> </w:t>
      </w:r>
      <w:r>
        <w:t xml:space="preserve">per i riferimenti alle tabelle.</w:t>
      </w:r>
    </w:p>
    <w:p>
      <w:pPr>
        <w:pStyle w:val="BodyText"/>
      </w:pPr>
      <w:r>
        <w:t xml:space="preserve">E’ importante sottolineare che le etichette per far riferimento alle figure devono iniziare necessariamente con la stringa</w:t>
      </w:r>
      <w:r>
        <w:t xml:space="preserve"> </w:t>
      </w:r>
      <w:r>
        <w:rPr>
          <w:rStyle w:val="VerbatimChar"/>
        </w:rPr>
        <w:t xml:space="preserve">fig-</w:t>
      </w:r>
      <w:r>
        <w:t xml:space="preserve">, mentre quelle relative alle figure con la stringa</w:t>
      </w:r>
      <w:r>
        <w:t xml:space="preserve"> </w:t>
      </w:r>
      <w:r>
        <w:rPr>
          <w:rStyle w:val="VerbatimChar"/>
        </w:rPr>
        <w:t xml:space="preserve">tbl</w:t>
      </w:r>
      <w:r>
        <w:t xml:space="preserve">. Per cambiare le etichette e le impostazioni di default relativi ai riferimenti incrociati puoi sfruttare la voce</w:t>
      </w:r>
      <w:r>
        <w:t xml:space="preserve"> </w:t>
      </w:r>
      <w:r>
        <w:rPr>
          <w:rStyle w:val="VerbatimChar"/>
        </w:rPr>
        <w:t xml:space="preserve">crossref</w:t>
      </w:r>
      <w:r>
        <w:t xml:space="preserve"> </w:t>
      </w:r>
      <w:r>
        <w:t xml:space="preserve">nella sezione</w:t>
      </w:r>
      <w:r>
        <w:t xml:space="preserve"> </w:t>
      </w:r>
      <w:r>
        <w:rPr>
          <w:rStyle w:val="VerbatimChar"/>
        </w:rPr>
        <w:t xml:space="preserve">YAML</w:t>
      </w:r>
      <w:r>
        <w:t xml:space="preserve">. Ecco ad esempio le impostazioni per un documento in italiano (i valori di default sono relativi alla lingua inglese):</w:t>
      </w:r>
    </w:p>
    <w:p>
      <w:pPr>
        <w:pStyle w:val="SourceCode"/>
      </w:pPr>
      <w:r>
        <w:rPr>
          <w:rStyle w:val="NormalTok"/>
        </w:rPr>
        <w:t xml:space="preserve">crossref</w:t>
      </w:r>
      <w:r>
        <w:rPr>
          <w:rStyle w:val="SpecialCharTok"/>
        </w:rPr>
        <w:t xml:space="preserve">:</w:t>
      </w:r>
      <w:r>
        <w:br/>
      </w:r>
      <w:r>
        <w:rPr>
          <w:rStyle w:val="NormalTok"/>
        </w:rPr>
        <w:t xml:space="preserve">  fig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prefix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 Figura   </w:t>
      </w:r>
      <w:r>
        <w:rPr>
          <w:rStyle w:val="CommentTok"/>
        </w:rPr>
        <w:t xml:space="preserve"># (default: "Figure")</w:t>
      </w:r>
      <w:r>
        <w:br/>
      </w:r>
      <w:r>
        <w:rPr>
          <w:rStyle w:val="NormalTok"/>
        </w:rPr>
        <w:t xml:space="preserve">  tbl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prefix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 Tabella    </w:t>
      </w:r>
      <w:r>
        <w:rPr>
          <w:rStyle w:val="CommentTok"/>
        </w:rPr>
        <w:t xml:space="preserve"># (default: "Table")</w:t>
      </w:r>
      <w:r>
        <w:br/>
      </w:r>
      <w:r>
        <w:rPr>
          <w:rStyle w:val="NormalTok"/>
        </w:rPr>
        <w:t xml:space="preserve">  ref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hyperlink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 false </w:t>
      </w:r>
      <w:r>
        <w:rPr>
          <w:rStyle w:val="CommentTok"/>
        </w:rPr>
        <w:t xml:space="preserve"># (default: true)</w:t>
      </w:r>
    </w:p>
    <w:p>
      <w:pPr>
        <w:pStyle w:val="FirstParagraph"/>
      </w:pPr>
      <w:r>
        <w:t xml:space="preserve">Maggiori dettagli sui riferimenti incrociati sono disponibili sulla</w:t>
      </w:r>
      <w:r>
        <w:t xml:space="preserve"> </w:t>
      </w:r>
      <w:hyperlink r:id="rId51">
        <w:r>
          <w:rPr>
            <w:rStyle w:val="Hyperlink"/>
          </w:rPr>
          <w:t xml:space="preserve">corrispondente pagina</w:t>
        </w:r>
      </w:hyperlink>
      <w:r>
        <w:t xml:space="preserve"> </w:t>
      </w:r>
      <w:r>
        <w:t xml:space="preserve">della documentazione</w:t>
      </w:r>
      <w:r>
        <w:t xml:space="preserve"> </w:t>
      </w:r>
      <w:r>
        <w:rPr>
          <w:rStyle w:val="VerbatimChar"/>
        </w:rPr>
        <w:t xml:space="preserve">Quarto</w:t>
      </w:r>
      <w:r>
        <w:t xml:space="preserve">.</w:t>
      </w:r>
    </w:p>
    <w:p>
      <w:pPr>
        <w:pStyle w:val="BodyText"/>
      </w:pPr>
      <w:r>
        <w:t xml:space="preserve">Per chiudere, puoi fissare il titolo della sezione in cui verranno inseriti i riferimenti bibliografici semplicemente inserendo una sezione vuota (solo titolo) in calce al documento.</w:t>
      </w:r>
    </w:p>
    <w:bookmarkEnd w:id="52"/>
    <w:bookmarkEnd w:id="53"/>
    <w:bookmarkEnd w:id="54"/>
    <w:bookmarkStart w:id="62" w:name="riferimenti-bibliografici"/>
    <w:p>
      <w:pPr>
        <w:pStyle w:val="Heading1"/>
      </w:pPr>
      <w:r>
        <w:t xml:space="preserve">Riferimenti bibliografici</w:t>
      </w:r>
    </w:p>
    <w:bookmarkStart w:id="61" w:name="refs"/>
    <w:bookmarkStart w:id="56" w:name="ref-R-base"/>
    <w:p>
      <w:pPr>
        <w:pStyle w:val="Bibliography"/>
      </w:pPr>
      <w:r>
        <w:t xml:space="preserve">R Core Team. 2013.</w:t>
      </w:r>
      <w:r>
        <w:t xml:space="preserve"> </w:t>
      </w:r>
      <w:r>
        <w:rPr>
          <w:i/>
          <w:iCs/>
        </w:rPr>
        <w:t xml:space="preserve">R: A Language and Environment for Statistical Computing</w:t>
      </w:r>
      <w:r>
        <w:t xml:space="preserve">. Vienna, Austria: R Foundation for Statistical Computing.</w:t>
      </w:r>
      <w:r>
        <w:t xml:space="preserve"> </w:t>
      </w:r>
      <w:hyperlink r:id="rId55">
        <w:r>
          <w:rPr>
            <w:rStyle w:val="Hyperlink"/>
          </w:rPr>
          <w:t xml:space="preserve">http://www.R-project.org/</w:t>
        </w:r>
      </w:hyperlink>
      <w:r>
        <w:t xml:space="preserve">.</w:t>
      </w:r>
    </w:p>
    <w:bookmarkEnd w:id="56"/>
    <w:bookmarkStart w:id="58" w:name="ref-wickham2018"/>
    <w:p>
      <w:pPr>
        <w:pStyle w:val="Bibliography"/>
      </w:pPr>
      <w:r>
        <w:t xml:space="preserve">Wickham, Hadley, and Garrett Grolemund. 2017.</w:t>
      </w:r>
      <w:r>
        <w:t xml:space="preserve"> </w:t>
      </w:r>
      <w:r>
        <w:rPr>
          <w:i/>
          <w:iCs/>
        </w:rPr>
        <w:t xml:space="preserve">R</w:t>
      </w:r>
      <w:r>
        <w:rPr>
          <w:i/>
          <w:iCs/>
        </w:rPr>
        <w:t xml:space="preserve"> </w:t>
      </w:r>
      <w:r>
        <w:rPr>
          <w:i/>
          <w:iCs/>
        </w:rPr>
        <w:t xml:space="preserve">for Data Science</w:t>
      </w:r>
      <w:r>
        <w:t xml:space="preserve">. O’Reilly.</w:t>
      </w:r>
      <w:r>
        <w:t xml:space="preserve"> </w:t>
      </w:r>
      <w:hyperlink r:id="rId57">
        <w:r>
          <w:rPr>
            <w:rStyle w:val="Hyperlink"/>
          </w:rPr>
          <w:t xml:space="preserve">http://r4ds.had.co.nz/</w:t>
        </w:r>
      </w:hyperlink>
      <w:r>
        <w:t xml:space="preserve">.</w:t>
      </w:r>
    </w:p>
    <w:bookmarkEnd w:id="58"/>
    <w:bookmarkStart w:id="60" w:name="ref-xie2013"/>
    <w:p>
      <w:pPr>
        <w:pStyle w:val="Bibliography"/>
      </w:pPr>
      <w:r>
        <w:t xml:space="preserve">Xie, Yihui. 2015.</w:t>
      </w:r>
      <w:r>
        <w:t xml:space="preserve"> </w:t>
      </w:r>
      <w:r>
        <w:rPr>
          <w:i/>
          <w:iCs/>
        </w:rPr>
        <w:t xml:space="preserve">Dynamic Documents with</w:t>
      </w:r>
      <w:r>
        <w:rPr>
          <w:i/>
          <w:iCs/>
        </w:rPr>
        <w:t xml:space="preserve"> </w:t>
      </w:r>
      <w:r>
        <w:rPr>
          <w:i/>
          <w:iCs/>
        </w:rPr>
        <w:t xml:space="preserve">R</w:t>
      </w:r>
      <w:r>
        <w:rPr>
          <w:i/>
          <w:iCs/>
        </w:rPr>
        <w:t xml:space="preserve"> </w:t>
      </w:r>
      <w:r>
        <w:rPr>
          <w:i/>
          <w:iCs/>
        </w:rPr>
        <w:t xml:space="preserve">and Knitr</w:t>
      </w:r>
      <w:r>
        <w:t xml:space="preserve">. 2nd ed. Boca Raton, Florida: Chapman; Hall/CRC.</w:t>
      </w:r>
      <w:r>
        <w:t xml:space="preserve"> </w:t>
      </w:r>
      <w:hyperlink r:id="rId59">
        <w:r>
          <w:rPr>
            <w:rStyle w:val="Hyperlink"/>
          </w:rPr>
          <w:t xml:space="preserve">http://yihui.name/knitr/</w:t>
        </w:r>
      </w:hyperlink>
      <w:r>
        <w:t xml:space="preserve">.</w:t>
      </w:r>
    </w:p>
    <w:bookmarkEnd w:id="60"/>
    <w:bookmarkEnd w:id="61"/>
    <w:bookmarkEnd w:id="6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48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Ciao, sono la prima nota a piè di pagina.</w:t>
      </w:r>
    </w:p>
  </w:footnote>
  <w:footnote w:id="4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Ciao di nuovo, sono un’altra nota.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331">
    <w:nsid w:val="00A99331"/>
    <w:multiLevelType w:val="multilevel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3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5" Target="media/rId35.png" /><Relationship Type="http://schemas.openxmlformats.org/officeDocument/2006/relationships/image" Id="rId28" Target="media/rId28.png" /><Relationship Type="http://schemas.openxmlformats.org/officeDocument/2006/relationships/hyperlink" Id="rId23" Target="../../labs/lab_14-quarto-tutorial/lab_14-quarto-tutorial.zip" TargetMode="External" /><Relationship Type="http://schemas.openxmlformats.org/officeDocument/2006/relationships/hyperlink" Id="rId57" Target="http://r4ds.had.co.nz/" TargetMode="External" /><Relationship Type="http://schemas.openxmlformats.org/officeDocument/2006/relationships/hyperlink" Id="rId55" Target="http://www.R-project.org/" TargetMode="External" /><Relationship Type="http://schemas.openxmlformats.org/officeDocument/2006/relationships/hyperlink" Id="rId59" Target="http://yihui.name/knitr/" TargetMode="External" /><Relationship Type="http://schemas.openxmlformats.org/officeDocument/2006/relationships/hyperlink" Id="rId51" Target="https://quarto.org/docs/authoring/cross-references.html" TargetMode="External" /><Relationship Type="http://schemas.openxmlformats.org/officeDocument/2006/relationships/hyperlink" Id="rId26" Target="https://quarto.org/docs/authoring/markdown-basics.html" TargetMode="External" /><Relationship Type="http://schemas.openxmlformats.org/officeDocument/2006/relationships/hyperlink" Id="rId25" Target="https://quarto.org/docs/guide/" TargetMode="External" /><Relationship Type="http://schemas.openxmlformats.org/officeDocument/2006/relationships/hyperlink" Id="rId27" Target="https://r4ds.hadley.nz/" TargetMode="External" /><Relationship Type="http://schemas.openxmlformats.org/officeDocument/2006/relationships/hyperlink" Id="rId46" Target="https://www.bibtex.com/e/entry-type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../../labs/lab_14-quarto-tutorial/lab_14-quarto-tutorial.zip" TargetMode="External" /><Relationship Type="http://schemas.openxmlformats.org/officeDocument/2006/relationships/hyperlink" Id="rId57" Target="http://r4ds.had.co.nz/" TargetMode="External" /><Relationship Type="http://schemas.openxmlformats.org/officeDocument/2006/relationships/hyperlink" Id="rId55" Target="http://www.R-project.org/" TargetMode="External" /><Relationship Type="http://schemas.openxmlformats.org/officeDocument/2006/relationships/hyperlink" Id="rId59" Target="http://yihui.name/knitr/" TargetMode="External" /><Relationship Type="http://schemas.openxmlformats.org/officeDocument/2006/relationships/hyperlink" Id="rId51" Target="https://quarto.org/docs/authoring/cross-references.html" TargetMode="External" /><Relationship Type="http://schemas.openxmlformats.org/officeDocument/2006/relationships/hyperlink" Id="rId26" Target="https://quarto.org/docs/authoring/markdown-basics.html" TargetMode="External" /><Relationship Type="http://schemas.openxmlformats.org/officeDocument/2006/relationships/hyperlink" Id="rId25" Target="https://quarto.org/docs/guide/" TargetMode="External" /><Relationship Type="http://schemas.openxmlformats.org/officeDocument/2006/relationships/hyperlink" Id="rId27" Target="https://r4ds.hadley.nz/" TargetMode="External" /><Relationship Type="http://schemas.openxmlformats.org/officeDocument/2006/relationships/hyperlink" Id="rId46" Target="https://www.bibtex.com/e/entry-type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documento Quarto con codice integrato</dc:title>
  <dc:creator>Domenico Vistocco</dc:creator>
  <cp:keywords/>
  <dcterms:created xsi:type="dcterms:W3CDTF">2025-12-24T11:44:36Z</dcterms:created>
  <dcterms:modified xsi:type="dcterms:W3CDTF">2025-12-24T11:44:36Z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>lab_14-references.bib</vt:lpwstr>
  </property>
  <property fmtid="{D5CDD505-2E9C-101B-9397-08002B2CF9AE}" pid="5" name="by-author">
    <vt:lpwstr/>
  </property>
  <property fmtid="{D5CDD505-2E9C-101B-9397-08002B2CF9AE}" pid="6" name="date">
    <vt:lpwstr>2023-10-24</vt:lpwstr>
  </property>
  <property fmtid="{D5CDD505-2E9C-101B-9397-08002B2CF9AE}" pid="7" name="editor">
    <vt:lpwstr>visual</vt:lpwstr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toc-title">
    <vt:lpwstr>Table of contents</vt:lpwstr>
  </property>
</Properties>
</file>